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Netskope se une a Google Workspace para optimizar la productividad en un entorno seguro</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18"/>
          <w:szCs w:val="18"/>
        </w:rPr>
      </w:pPr>
      <w:r w:rsidDel="00000000" w:rsidR="00000000" w:rsidRPr="00000000">
        <w:rPr>
          <w:i w:val="1"/>
          <w:sz w:val="18"/>
          <w:szCs w:val="18"/>
          <w:rtl w:val="0"/>
        </w:rPr>
        <w:t xml:space="preserve">El líder en SASE amplía la seguridad en la plataforma empresarial de Google con una capa adicional de protección de datos y contra amenazas.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Ciudad de México, 18 de junio de 2024.- </w:t>
      </w:r>
      <w:hyperlink r:id="rId6">
        <w:r w:rsidDel="00000000" w:rsidR="00000000" w:rsidRPr="00000000">
          <w:rPr>
            <w:color w:val="1155cc"/>
            <w:u w:val="single"/>
            <w:rtl w:val="0"/>
          </w:rPr>
          <w:t xml:space="preserve">Netskope</w:t>
        </w:r>
      </w:hyperlink>
      <w:r w:rsidDel="00000000" w:rsidR="00000000" w:rsidRPr="00000000">
        <w:rPr>
          <w:rtl w:val="0"/>
        </w:rPr>
        <w:t xml:space="preserve">, el líder global en Secure Access Service Edge (SASE), se unió oficialmente a la Google Workspace Security Alliance para ampliar la seguridad y protección de datos para los usuarios empresariales en Worskspace. Ahora, la Netskope One Platform proporcionará una serie de capacidades avanzadas contra amenazas para que los usuarios tengan un acceso rápido y seguro a las herramientas de productividad y colaboración de Google Workspace, incluido </w:t>
      </w:r>
      <w:hyperlink r:id="rId7">
        <w:r w:rsidDel="00000000" w:rsidR="00000000" w:rsidRPr="00000000">
          <w:rPr>
            <w:color w:val="1155cc"/>
            <w:u w:val="single"/>
            <w:rtl w:val="0"/>
          </w:rPr>
          <w:t xml:space="preserve">Gemini.</w:t>
        </w:r>
      </w:hyperlink>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Lo anterior se deriva de que las empresas, a medida que adoptan cada vez más tecnologías en la nube para impulsar la innovación y la eficiencia, enfrentan el desafío de asegurar datos sensibles frente a una variedad de riesgos cibernéticos, incluyendo: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4"/>
        </w:numPr>
        <w:ind w:left="720" w:hanging="360"/>
        <w:jc w:val="both"/>
        <w:rPr>
          <w:u w:val="none"/>
        </w:rPr>
      </w:pPr>
      <w:r w:rsidDel="00000000" w:rsidR="00000000" w:rsidRPr="00000000">
        <w:rPr>
          <w:rtl w:val="0"/>
        </w:rPr>
        <w:t xml:space="preserve">Incrementos continuos en el número de usuarios que suben datos sensibles a entornos personales de aplicaciones en la nube.</w:t>
      </w:r>
    </w:p>
    <w:p w:rsidR="00000000" w:rsidDel="00000000" w:rsidP="00000000" w:rsidRDefault="00000000" w:rsidRPr="00000000" w14:paraId="0000000A">
      <w:pPr>
        <w:numPr>
          <w:ilvl w:val="0"/>
          <w:numId w:val="4"/>
        </w:numPr>
        <w:ind w:left="720" w:hanging="360"/>
        <w:jc w:val="both"/>
        <w:rPr>
          <w:u w:val="none"/>
        </w:rPr>
      </w:pPr>
      <w:r w:rsidDel="00000000" w:rsidR="00000000" w:rsidRPr="00000000">
        <w:rPr>
          <w:rtl w:val="0"/>
        </w:rPr>
        <w:t xml:space="preserve">Nuevas y evolucionadas técnicas de amenazas como el abuso de ciertas aplicaciones que comprometen las credenciales de acceso a datos empresariales críticos.</w:t>
      </w:r>
    </w:p>
    <w:p w:rsidR="00000000" w:rsidDel="00000000" w:rsidP="00000000" w:rsidRDefault="00000000" w:rsidRPr="00000000" w14:paraId="0000000B">
      <w:pPr>
        <w:numPr>
          <w:ilvl w:val="0"/>
          <w:numId w:val="4"/>
        </w:numPr>
        <w:ind w:left="720" w:hanging="360"/>
        <w:jc w:val="both"/>
        <w:rPr>
          <w:u w:val="none"/>
        </w:rPr>
      </w:pPr>
      <w:r w:rsidDel="00000000" w:rsidR="00000000" w:rsidRPr="00000000">
        <w:rPr>
          <w:rtl w:val="0"/>
        </w:rPr>
        <w:t xml:space="preserve">Exposición de datos debido al uso inseguro de herramientas de productividad basadas en Inteligencia Artificial (IA), tanto gestionadas como no gestionadas.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Al integrarse a la Google Worskspace Security Aloiance, Netskope proporciona técnicas avanzadas de prevención de pérdida de datos (DLP), ofreciendo visibilidad y control en tiempo real sobre la actividad de los usuarios tanto en instancias de nube corporativas y plataformas personales. Además, la protección integral contra amenazas de Netskope a través de controles API detecta amenazas en aplicaciones de Google y monitorea el movimiento de datos y la propagación de amenazas entre las aplicaciones de Google Workspace y aplicaciones del ecosistema de terceros.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i w:val="1"/>
        </w:rPr>
      </w:pPr>
      <w:r w:rsidDel="00000000" w:rsidR="00000000" w:rsidRPr="00000000">
        <w:rPr>
          <w:i w:val="1"/>
          <w:rtl w:val="0"/>
        </w:rPr>
        <w:t xml:space="preserve">"Netskope se enorgullece de expandir su asociación con Google Workspace al unirse a la Workspace Security Alliance. Ya hay miles de clientes usando Netskope para proteger sus aplicaciones en ese entorno, y esta nueva asociación mejora aún más las capacidades de uso seguro de esa plataforma</w:t>
      </w:r>
      <w:r w:rsidDel="00000000" w:rsidR="00000000" w:rsidRPr="00000000">
        <w:rPr>
          <w:rtl w:val="0"/>
        </w:rPr>
        <w:t xml:space="preserve">," dijo Andy Horwitz, VP de Ecosistemas Globales de Socios, Netskope.</w:t>
      </w:r>
      <w:r w:rsidDel="00000000" w:rsidR="00000000" w:rsidRPr="00000000">
        <w:rPr>
          <w:i w:val="1"/>
          <w:rtl w:val="0"/>
        </w:rPr>
        <w:t xml:space="preserve"> "Juntos, Netskope y Google Workspace pueden ayudar a los clientes a modernizar su stack de productividad. Esperamos ayudar a los clientes a optimizar de manera segura la productividad diaria de sus empleados."</w:t>
      </w:r>
    </w:p>
    <w:p w:rsidR="00000000" w:rsidDel="00000000" w:rsidP="00000000" w:rsidRDefault="00000000" w:rsidRPr="00000000" w14:paraId="00000010">
      <w:pPr>
        <w:jc w:val="both"/>
        <w:rPr>
          <w:i w:val="1"/>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Con la asociación entre Netskope y Google Workspace, los clientes conjuntos ahora pueden: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5"/>
        </w:numPr>
        <w:ind w:left="720" w:hanging="360"/>
        <w:jc w:val="both"/>
        <w:rPr>
          <w:u w:val="none"/>
        </w:rPr>
      </w:pPr>
      <w:r w:rsidDel="00000000" w:rsidR="00000000" w:rsidRPr="00000000">
        <w:rPr>
          <w:rtl w:val="0"/>
        </w:rPr>
        <w:t xml:space="preserve">Apoyar el uso de buenas prácticas de Gemini para Google Workspace: Aprovechar la orientación en tiempo real para ayudar a hacer cumplir las mejores prácticas en el uso de aplicaciones. Las organizaciones pueden obtener visibilidad del movimiento de datos para minimizar el intercambio de información sensible mientras logran objetivos de cumplimiento de datos.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6"/>
        </w:numPr>
        <w:ind w:left="720" w:hanging="360"/>
        <w:jc w:val="both"/>
        <w:rPr>
          <w:u w:val="none"/>
        </w:rPr>
      </w:pPr>
      <w:r w:rsidDel="00000000" w:rsidR="00000000" w:rsidRPr="00000000">
        <w:rPr>
          <w:rtl w:val="0"/>
        </w:rPr>
        <w:t xml:space="preserve">Proteger datos sensibles: Detectar y gestionar el acceso a datos sensibles dentro de las aplicaciones de Google Workspace, haciendo cumplir políticas para prevenir el movimiento no autorizado de datos entre plataformas, incluyendo servicios de terceros como Microsoft OneDrive, Box y Dropbox.</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7"/>
        </w:numPr>
        <w:ind w:left="720" w:hanging="360"/>
        <w:jc w:val="both"/>
        <w:rPr>
          <w:u w:val="none"/>
        </w:rPr>
      </w:pPr>
      <w:r w:rsidDel="00000000" w:rsidR="00000000" w:rsidRPr="00000000">
        <w:rPr>
          <w:rtl w:val="0"/>
        </w:rPr>
        <w:t xml:space="preserve">Detener amenazas internas como la exfiltración de datos: Prevenir la descarga de datos sensibles desde instancias empresariales de Google Workspace y luego la subida a instancias personales, que es una de las principales razones de pérdida de datos en la actualidad. </w:t>
        <w:br w:type="textWrapping"/>
      </w:r>
    </w:p>
    <w:p w:rsidR="00000000" w:rsidDel="00000000" w:rsidP="00000000" w:rsidRDefault="00000000" w:rsidRPr="00000000" w14:paraId="00000018">
      <w:pPr>
        <w:numPr>
          <w:ilvl w:val="0"/>
          <w:numId w:val="7"/>
        </w:numPr>
        <w:ind w:left="720" w:hanging="360"/>
        <w:jc w:val="both"/>
        <w:rPr>
          <w:u w:val="none"/>
        </w:rPr>
      </w:pPr>
      <w:r w:rsidDel="00000000" w:rsidR="00000000" w:rsidRPr="00000000">
        <w:rPr>
          <w:rtl w:val="0"/>
        </w:rPr>
        <w:t xml:space="preserve">Aplicar control a dispositivos no gestionados: permitir el acceso de dispositivos no gestionados o personales a una aplicación en la nube específica para colaboración, sin permitir la descarga de datos sensibles.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2"/>
        </w:numPr>
        <w:ind w:left="720" w:hanging="360"/>
        <w:jc w:val="both"/>
        <w:rPr>
          <w:u w:val="none"/>
        </w:rPr>
      </w:pPr>
      <w:r w:rsidDel="00000000" w:rsidR="00000000" w:rsidRPr="00000000">
        <w:rPr>
          <w:rtl w:val="0"/>
        </w:rPr>
        <w:t xml:space="preserve">Detectar y detener amenazas y malware: Proteger contra malware y phishing entregados desde la nube. La protección avanzada contra amenazas (ATP) de múltiples capas de Netskope mejora la seguridad dentro de Google Workspace y en aplicaciones en la nube.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numPr>
          <w:ilvl w:val="0"/>
          <w:numId w:val="3"/>
        </w:numPr>
        <w:ind w:left="720" w:hanging="360"/>
        <w:jc w:val="both"/>
        <w:rPr>
          <w:u w:val="none"/>
        </w:rPr>
      </w:pPr>
      <w:r w:rsidDel="00000000" w:rsidR="00000000" w:rsidRPr="00000000">
        <w:rPr>
          <w:rtl w:val="0"/>
        </w:rPr>
        <w:t xml:space="preserve">Mantener el cumplimiento en Google Workspace: Asegurar que las organizaciones puedan adherirse a regulaciones y cumplir con las necesidades de cumplimiento haciendo cumplir políticas de seguridad dentro de Google Workspace.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i w:val="1"/>
        </w:rPr>
      </w:pPr>
      <w:r w:rsidDel="00000000" w:rsidR="00000000" w:rsidRPr="00000000">
        <w:rPr>
          <w:i w:val="1"/>
          <w:rtl w:val="0"/>
        </w:rPr>
        <w:t xml:space="preserve">"Al asociarse con Netskope, un proveedor líder en SASE, los clientes pueden expandir con confianza su adopción de Google Workspace aprovechando sus inversiones existentes en infraestructura de TI,"</w:t>
      </w:r>
      <w:r w:rsidDel="00000000" w:rsidR="00000000" w:rsidRPr="00000000">
        <w:rPr>
          <w:rtl w:val="0"/>
        </w:rPr>
        <w:t xml:space="preserve"> dijo Nikhil Sinha, Gerente de Producto de Google Workspace. </w:t>
      </w:r>
      <w:r w:rsidDel="00000000" w:rsidR="00000000" w:rsidRPr="00000000">
        <w:rPr>
          <w:i w:val="1"/>
          <w:rtl w:val="0"/>
        </w:rPr>
        <w:t xml:space="preserve">"Netskope permite visibilizar diferencias detalladas en las políticas de gobernanza de datos tanto para cuentas corporativas como personales de Google Workspace. Estamos emocionados de asociarnos con Netskope para proporcionar estas capacidades avanzadas de seguridad a nuestros clientes."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Los clientes y socios pueden adquirir paquetes específicos de protección SASE para Google Workspace, incluyendo para Gemini para Workspace. La plataforma SASE completa de Netskope está disponible hoy en Google Marketplace. Para más información sobre Netskope y Google Workspace, visite </w:t>
      </w:r>
      <w:hyperlink r:id="rId8">
        <w:r w:rsidDel="00000000" w:rsidR="00000000" w:rsidRPr="00000000">
          <w:rPr>
            <w:color w:val="1155cc"/>
            <w:u w:val="single"/>
            <w:rtl w:val="0"/>
          </w:rPr>
          <w:t xml:space="preserve">este enlace.</w:t>
        </w:r>
      </w:hyperlink>
      <w:r w:rsidDel="00000000" w:rsidR="00000000" w:rsidRPr="00000000">
        <w:rPr>
          <w:rtl w:val="0"/>
        </w:rPr>
        <w:br w:type="textWrapping"/>
        <w:br w:type="textWrapping"/>
      </w:r>
      <w:r w:rsidDel="00000000" w:rsidR="00000000" w:rsidRPr="00000000">
        <w:rPr>
          <w:rFonts w:ascii="Roboto" w:cs="Roboto" w:eastAsia="Roboto" w:hAnsi="Roboto"/>
          <w:b w:val="1"/>
          <w:color w:val="0d0d0d"/>
          <w:sz w:val="18"/>
          <w:szCs w:val="18"/>
          <w:highlight w:val="white"/>
          <w:rtl w:val="0"/>
        </w:rPr>
        <w:t xml:space="preserve">Sobre Netskope</w:t>
        <w:br w:type="textWrapping"/>
      </w:r>
      <w:r w:rsidDel="00000000" w:rsidR="00000000" w:rsidRPr="00000000">
        <w:rPr>
          <w:rFonts w:ascii="Roboto" w:cs="Roboto" w:eastAsia="Roboto" w:hAnsi="Roboto"/>
          <w:color w:val="0d0d0d"/>
          <w:sz w:val="18"/>
          <w:szCs w:val="18"/>
          <w:highlight w:val="white"/>
          <w:rtl w:val="0"/>
        </w:rPr>
        <w:t xml:space="preserve">Netskope, empresa líder global en SASE, ayuda a las organizaciones a aplicar principios de confianza cero (Zero Trust) e innovaciones en Inteligencia Artificial/Machine Learning para proteger datos y defenderse contra amenazas cibernéticas. Rápida y fácil de usar, la plataforma Netskope One y su motor de confianza cero patentado proporcionan acceso optimizado y seguridad en tiempo real para personas, dispositivos y datos en cualquier lugar donde se encuentren. Miles de clientes confían en Netskope y en su poderosa red NewEdge para reducir riesgos y obtener una visibilidad sin igual en cualquier actividad en la nube, la web y aplicaciones privadas, proporcionando seguridad y acelerando el rendimiento de los sistemas. Obtén más información en </w:t>
      </w:r>
      <w:hyperlink r:id="rId9">
        <w:r w:rsidDel="00000000" w:rsidR="00000000" w:rsidRPr="00000000">
          <w:rPr>
            <w:rFonts w:ascii="Roboto" w:cs="Roboto" w:eastAsia="Roboto" w:hAnsi="Roboto"/>
            <w:color w:val="1155cc"/>
            <w:sz w:val="18"/>
            <w:szCs w:val="18"/>
            <w:highlight w:val="white"/>
            <w:u w:val="single"/>
            <w:rtl w:val="0"/>
          </w:rPr>
          <w:t xml:space="preserve">https://www.netskope.com/</w:t>
        </w:r>
      </w:hyperlink>
      <w:r w:rsidDel="00000000" w:rsidR="00000000" w:rsidRPr="00000000">
        <w:rPr>
          <w:rFonts w:ascii="Roboto" w:cs="Roboto" w:eastAsia="Roboto" w:hAnsi="Roboto"/>
          <w:color w:val="0d0d0d"/>
          <w:sz w:val="18"/>
          <w:szCs w:val="18"/>
          <w:highlight w:val="white"/>
          <w:rtl w:val="0"/>
        </w:rPr>
        <w:t xml:space="preserve">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60" w:lineRule="auto"/>
      <w:jc w:val="center"/>
      <w:rPr/>
    </w:pPr>
    <w:r w:rsidDel="00000000" w:rsidR="00000000" w:rsidRPr="00000000">
      <w:rPr/>
      <w:drawing>
        <wp:inline distB="114300" distT="114300" distL="114300" distR="114300">
          <wp:extent cx="3124200" cy="733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42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netskope.com/" TargetMode="External"/><Relationship Id="rId5" Type="http://schemas.openxmlformats.org/officeDocument/2006/relationships/styles" Target="styles.xml"/><Relationship Id="rId6" Type="http://schemas.openxmlformats.org/officeDocument/2006/relationships/hyperlink" Target="https://c212.net/c/link/?t=0&amp;l=en&amp;o=4120795-1&amp;h=1119236763&amp;u=http%3A%2F%2Fwww.netskope.com%2F&amp;a=Netskope" TargetMode="External"/><Relationship Id="rId7" Type="http://schemas.openxmlformats.org/officeDocument/2006/relationships/hyperlink" Target="https://workspace.google.com/solutions/ai/" TargetMode="External"/><Relationship Id="rId8" Type="http://schemas.openxmlformats.org/officeDocument/2006/relationships/hyperlink" Target="https://www.netskope.com/solutions/netskope-for-google-workspa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